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7496" w:rsidRPr="00BC1F74" w:rsidRDefault="00337496" w:rsidP="00BC1F74">
      <w:pPr>
        <w:spacing w:after="0"/>
        <w:rPr>
          <w:rFonts w:ascii="Times New Roman" w:eastAsia="Times New Roman" w:hAnsi="Times New Roman" w:cs="Times New Roman"/>
          <w:sz w:val="24"/>
          <w:szCs w:val="24"/>
        </w:rPr>
      </w:pPr>
      <w:r w:rsidRPr="00BC1F74">
        <w:rPr>
          <w:rFonts w:ascii="Times New Roman" w:eastAsia="Times New Roman" w:hAnsi="Times New Roman" w:cs="Times New Roman"/>
          <w:sz w:val="24"/>
          <w:szCs w:val="24"/>
        </w:rPr>
        <w:t xml:space="preserve">Name </w:t>
      </w:r>
    </w:p>
    <w:p w:rsidR="00337496" w:rsidRPr="00BC1F74" w:rsidRDefault="00337496" w:rsidP="00BC1F74">
      <w:pPr>
        <w:spacing w:after="0"/>
        <w:rPr>
          <w:rFonts w:ascii="Times New Roman" w:eastAsia="Times New Roman" w:hAnsi="Times New Roman" w:cs="Times New Roman"/>
          <w:sz w:val="24"/>
          <w:szCs w:val="24"/>
        </w:rPr>
      </w:pPr>
      <w:r w:rsidRPr="00BC1F74">
        <w:rPr>
          <w:rFonts w:ascii="Times New Roman" w:eastAsia="Times New Roman" w:hAnsi="Times New Roman" w:cs="Times New Roman"/>
          <w:sz w:val="24"/>
          <w:szCs w:val="24"/>
        </w:rPr>
        <w:t>Instructor</w:t>
      </w:r>
    </w:p>
    <w:p w:rsidR="00337496" w:rsidRPr="00BC1F74" w:rsidRDefault="00337496" w:rsidP="00BC1F74">
      <w:pPr>
        <w:spacing w:after="0"/>
        <w:rPr>
          <w:rFonts w:ascii="Times New Roman" w:eastAsia="Times New Roman" w:hAnsi="Times New Roman" w:cs="Times New Roman"/>
          <w:sz w:val="24"/>
          <w:szCs w:val="24"/>
        </w:rPr>
      </w:pPr>
      <w:r w:rsidRPr="00BC1F74">
        <w:rPr>
          <w:rFonts w:ascii="Times New Roman" w:eastAsia="Times New Roman" w:hAnsi="Times New Roman" w:cs="Times New Roman"/>
          <w:sz w:val="24"/>
          <w:szCs w:val="24"/>
        </w:rPr>
        <w:t xml:space="preserve">Course </w:t>
      </w:r>
    </w:p>
    <w:p w:rsidR="00337496" w:rsidRPr="00BC1F74" w:rsidRDefault="00337496" w:rsidP="00BC1F74">
      <w:pPr>
        <w:rPr>
          <w:rFonts w:ascii="Times New Roman" w:eastAsia="Times New Roman" w:hAnsi="Times New Roman" w:cs="Times New Roman"/>
          <w:sz w:val="24"/>
          <w:szCs w:val="24"/>
        </w:rPr>
      </w:pPr>
      <w:r w:rsidRPr="00BC1F74">
        <w:rPr>
          <w:rFonts w:ascii="Times New Roman" w:eastAsia="Times New Roman" w:hAnsi="Times New Roman" w:cs="Times New Roman"/>
          <w:sz w:val="24"/>
          <w:szCs w:val="24"/>
        </w:rPr>
        <w:t>Date</w:t>
      </w:r>
    </w:p>
    <w:p w:rsidR="002B65C6" w:rsidRPr="00BC1F74" w:rsidRDefault="00337496" w:rsidP="00BC1F74">
      <w:pPr>
        <w:jc w:val="center"/>
        <w:rPr>
          <w:rFonts w:ascii="Times New Roman" w:eastAsia="Times New Roman" w:hAnsi="Times New Roman" w:cs="Times New Roman"/>
          <w:sz w:val="24"/>
          <w:szCs w:val="24"/>
        </w:rPr>
      </w:pPr>
      <w:r w:rsidRPr="00BC1F74">
        <w:rPr>
          <w:rFonts w:ascii="Times New Roman" w:eastAsia="Times New Roman" w:hAnsi="Times New Roman" w:cs="Times New Roman"/>
          <w:sz w:val="24"/>
          <w:szCs w:val="24"/>
        </w:rPr>
        <w:t xml:space="preserve">Critical Thinking about </w:t>
      </w:r>
      <w:r w:rsidR="00D61F6F" w:rsidRPr="00BC1F74">
        <w:rPr>
          <w:rFonts w:ascii="Times New Roman" w:eastAsia="Times New Roman" w:hAnsi="Times New Roman" w:cs="Times New Roman"/>
          <w:i/>
          <w:sz w:val="24"/>
          <w:szCs w:val="24"/>
        </w:rPr>
        <w:t>the</w:t>
      </w:r>
      <w:r w:rsidRPr="00BC1F74">
        <w:rPr>
          <w:rFonts w:ascii="Times New Roman" w:eastAsia="Times New Roman" w:hAnsi="Times New Roman" w:cs="Times New Roman"/>
          <w:i/>
          <w:sz w:val="24"/>
          <w:szCs w:val="24"/>
        </w:rPr>
        <w:t xml:space="preserve"> Hound </w:t>
      </w:r>
      <w:r w:rsidR="00D61F6F" w:rsidRPr="00BC1F74">
        <w:rPr>
          <w:rFonts w:ascii="Times New Roman" w:eastAsia="Times New Roman" w:hAnsi="Times New Roman" w:cs="Times New Roman"/>
          <w:i/>
          <w:sz w:val="24"/>
          <w:szCs w:val="24"/>
        </w:rPr>
        <w:t>of the Baskerville-</w:t>
      </w:r>
      <w:r w:rsidR="00D61F6F" w:rsidRPr="00BC1F74">
        <w:rPr>
          <w:rFonts w:ascii="Times New Roman" w:eastAsia="Times New Roman" w:hAnsi="Times New Roman" w:cs="Times New Roman"/>
          <w:sz w:val="24"/>
          <w:szCs w:val="24"/>
        </w:rPr>
        <w:t xml:space="preserve"> Conan Doyle</w:t>
      </w:r>
    </w:p>
    <w:p w:rsidR="006E1B00" w:rsidRPr="006E1B00" w:rsidRDefault="00EF4EC0" w:rsidP="006E1B00">
      <w:pPr>
        <w:rPr>
          <w:rFonts w:ascii="Times New Roman" w:hAnsi="Times New Roman" w:cs="Times New Roman"/>
          <w:sz w:val="24"/>
          <w:szCs w:val="24"/>
        </w:rPr>
      </w:pPr>
      <w:r>
        <w:rPr>
          <w:rFonts w:ascii="Times New Roman" w:hAnsi="Times New Roman" w:cs="Times New Roman"/>
          <w:sz w:val="24"/>
          <w:szCs w:val="24"/>
        </w:rPr>
        <w:tab/>
      </w:r>
      <w:r w:rsidR="006E1B00" w:rsidRPr="006E1B00">
        <w:rPr>
          <w:rFonts w:ascii="Times New Roman" w:hAnsi="Times New Roman" w:cs="Times New Roman"/>
          <w:sz w:val="24"/>
          <w:szCs w:val="24"/>
        </w:rPr>
        <w:t xml:space="preserve">The Hound of the Baskerville is a mystery story that incorporates a supernatural tale concept to embark on the mysterious curse of the Baskerville neighborhood. The book cultivated fear and curiosity to the readers’ perspectives, which is essential toward the development of the major themes. Notably, Doyle portrays the main protagonist, Mr. Shylock Holmes, to be exemplifying unique attributes and capabilities compared to the other characters. The unique attributes and capabilities of Mr. Holmes manifest the prominent concepts used in the Victoria-era literary work that include grotesque and reflection. An assessment of the chief detective, Mr. Shylock Holmes, by evaluating his ability to harness fear and curiosity among the readers and the role of a direct narrative perspective are critical attributes that harness the mystical attributes of the Hound of the Baskerville. </w:t>
      </w:r>
    </w:p>
    <w:p w:rsidR="006E1B00" w:rsidRPr="003427C7" w:rsidRDefault="006E1B00" w:rsidP="003427C7">
      <w:pPr>
        <w:jc w:val="center"/>
        <w:rPr>
          <w:rFonts w:ascii="Times New Roman" w:hAnsi="Times New Roman" w:cs="Times New Roman"/>
          <w:b/>
          <w:sz w:val="24"/>
          <w:szCs w:val="24"/>
        </w:rPr>
      </w:pPr>
      <w:r w:rsidRPr="003427C7">
        <w:rPr>
          <w:rFonts w:ascii="Times New Roman" w:hAnsi="Times New Roman" w:cs="Times New Roman"/>
          <w:b/>
          <w:sz w:val="24"/>
          <w:szCs w:val="24"/>
        </w:rPr>
        <w:t>Analysis of the Main Detective in the Hound of the Baskerville Book</w:t>
      </w:r>
    </w:p>
    <w:p w:rsidR="006E1B00" w:rsidRPr="006E1B00" w:rsidRDefault="006E1B00" w:rsidP="003427C7">
      <w:pPr>
        <w:ind w:firstLine="720"/>
        <w:rPr>
          <w:rFonts w:ascii="Times New Roman" w:hAnsi="Times New Roman" w:cs="Times New Roman"/>
          <w:sz w:val="24"/>
          <w:szCs w:val="24"/>
        </w:rPr>
      </w:pPr>
      <w:r w:rsidRPr="006E1B00">
        <w:rPr>
          <w:rFonts w:ascii="Times New Roman" w:hAnsi="Times New Roman" w:cs="Times New Roman"/>
          <w:sz w:val="24"/>
          <w:szCs w:val="24"/>
        </w:rPr>
        <w:t xml:space="preserve">Mr. Shylock Holmes exhibits unique attributes that include ingenuity, inquisitiveness, and keen observer. Chapter 1 facilitates a reader to learn about the key traits of Mr. Shylock Holmes about his inquisitive nature when he sought the views of Watson toward the mysterious walking stick the two protagonists came across in their office. “Well Watson, what do you make of it? (Doyle, 9)” Me. Holmes poses the question to his partner after reading the inscriptions engraved in the mysterious souvenir. The question aims to facilitate Holmes learn about </w:t>
      </w:r>
      <w:r w:rsidRPr="006E1B00">
        <w:rPr>
          <w:rFonts w:ascii="Times New Roman" w:hAnsi="Times New Roman" w:cs="Times New Roman"/>
          <w:sz w:val="24"/>
          <w:szCs w:val="24"/>
        </w:rPr>
        <w:lastRenderedPageBreak/>
        <w:t>Watson’s point of view and “reconstruct the man” by examining the owner of the walking stick (ibid). Importantly, the question triggers the readers’ curiosity because of the possible outcomes about the reason the mysterious owner of the souvenir left behind critical evidence.</w:t>
      </w:r>
    </w:p>
    <w:p w:rsidR="006E1B00" w:rsidRPr="006E1B00" w:rsidRDefault="006E1B00" w:rsidP="003427C7">
      <w:pPr>
        <w:ind w:firstLine="720"/>
        <w:rPr>
          <w:rFonts w:ascii="Times New Roman" w:hAnsi="Times New Roman" w:cs="Times New Roman"/>
          <w:sz w:val="24"/>
          <w:szCs w:val="24"/>
        </w:rPr>
      </w:pPr>
      <w:r w:rsidRPr="006E1B00">
        <w:rPr>
          <w:rFonts w:ascii="Times New Roman" w:hAnsi="Times New Roman" w:cs="Times New Roman"/>
          <w:sz w:val="24"/>
          <w:szCs w:val="24"/>
        </w:rPr>
        <w:t xml:space="preserve">Further, chapter 1 portrays Mr. Shylock Holmes as an intelligent detective. The chief protagonist appraises his partner, Mr. Watson after the latter deduced that the mysterious stick was probably “an appreciation to Dr. Mortimer for being a country practitioner (Doyle, 10).” Mr. Holmes’ positive feedbacks toward the partner reconstruction portray the former as an intelligent person because he later refutes the assertion about the owner of the souvenir being a medicine man without antagonizing his partner.  In fact, </w:t>
      </w:r>
      <w:r w:rsidR="00DB5B58">
        <w:rPr>
          <w:rFonts w:ascii="Times New Roman" w:hAnsi="Times New Roman" w:cs="Times New Roman"/>
          <w:sz w:val="24"/>
          <w:szCs w:val="24"/>
        </w:rPr>
        <w:t xml:space="preserve">the </w:t>
      </w:r>
      <w:bookmarkStart w:id="0" w:name="_GoBack"/>
      <w:bookmarkEnd w:id="0"/>
      <w:r w:rsidRPr="006E1B00">
        <w:rPr>
          <w:rFonts w:ascii="Times New Roman" w:hAnsi="Times New Roman" w:cs="Times New Roman"/>
          <w:sz w:val="24"/>
          <w:szCs w:val="24"/>
        </w:rPr>
        <w:t xml:space="preserve">appreciation astonishes Mr. Watson who confesses to taking pleasure because of his ability master Holmes’ system to warrant the cadre of appreciation (ibid). Ironically, the appreciation misleads the readers to consider the mysterious walking stick to be a token of appreciation designated to Dr. Mortimer from a fellow physician. </w:t>
      </w:r>
    </w:p>
    <w:p w:rsidR="006E1B00" w:rsidRPr="006E1B00" w:rsidRDefault="006E1B00" w:rsidP="003427C7">
      <w:pPr>
        <w:ind w:firstLine="720"/>
        <w:rPr>
          <w:rFonts w:ascii="Times New Roman" w:hAnsi="Times New Roman" w:cs="Times New Roman"/>
          <w:sz w:val="24"/>
          <w:szCs w:val="24"/>
        </w:rPr>
      </w:pPr>
      <w:r w:rsidRPr="006E1B00">
        <w:rPr>
          <w:rFonts w:ascii="Times New Roman" w:hAnsi="Times New Roman" w:cs="Times New Roman"/>
          <w:sz w:val="24"/>
          <w:szCs w:val="24"/>
        </w:rPr>
        <w:t xml:space="preserve">However, Mr. Holmes intelligently rebuts his partner conclusion about the mysterious souvenir collected in the office. “Interestingly though elementary, there are certainly one or two indications upon the stick (Doyle, 11).” Mr. Holmes implication that there were other possible perspectives about the mysterious stick elicits curiosity and fear among the readers because it leads to new perspectives. Further, Mr. Watson expressly manifests his fear that he may have overlooked something of significant consequence toward their ability to discern about the mystical owner of the walking stick (ibid). Mr. Holmes inform Mr. Watson that majority of his conclusion has been erroneous because a presentation to a doctor Mortimer was likely to originate from a hospital contrary to a hunt (Doyle, 11). The intelligent rebuttal of his partner’s conclusion that the mysterious walking stick was a gift from a hospital to doctor Mortimer exemplifies Mr. Holmes’ observant trait. </w:t>
      </w:r>
    </w:p>
    <w:p w:rsidR="006E1B00" w:rsidRPr="006E1B00" w:rsidRDefault="006E1B00" w:rsidP="003427C7">
      <w:pPr>
        <w:ind w:firstLine="720"/>
        <w:rPr>
          <w:rFonts w:ascii="Times New Roman" w:hAnsi="Times New Roman" w:cs="Times New Roman"/>
          <w:sz w:val="24"/>
          <w:szCs w:val="24"/>
        </w:rPr>
      </w:pPr>
      <w:r w:rsidRPr="006E1B00">
        <w:rPr>
          <w:rFonts w:ascii="Times New Roman" w:hAnsi="Times New Roman" w:cs="Times New Roman"/>
          <w:sz w:val="24"/>
          <w:szCs w:val="24"/>
        </w:rPr>
        <w:lastRenderedPageBreak/>
        <w:t>Mr. Holmes is the chief protagonist in the Hound of the Baskerville, which accords him superior capabilities compared to the rest of the characters in the book. Notably, Mr. Holmes’ assessment about the inscription “To James Mortimer, M.R.C.S from his friends of C.C.H” manifests the lead detective superior to his associates that include Mr. Watson and Doctor Mortimer (Doyle, 10). Unlike his partner, Mr. Holmes observes the need for them to think beyond the conventional means because of the intricate nature of the current quandary (Doyle, 11). The inference that the initials ‘C.C.H’ indicate ‘</w:t>
      </w:r>
      <w:proofErr w:type="spellStart"/>
      <w:r w:rsidRPr="006E1B00">
        <w:rPr>
          <w:rFonts w:ascii="Times New Roman" w:hAnsi="Times New Roman" w:cs="Times New Roman"/>
          <w:sz w:val="24"/>
          <w:szCs w:val="24"/>
        </w:rPr>
        <w:t>Charing</w:t>
      </w:r>
      <w:proofErr w:type="spellEnd"/>
      <w:r w:rsidRPr="006E1B00">
        <w:rPr>
          <w:rFonts w:ascii="Times New Roman" w:hAnsi="Times New Roman" w:cs="Times New Roman"/>
          <w:sz w:val="24"/>
          <w:szCs w:val="24"/>
        </w:rPr>
        <w:t xml:space="preserve"> Cross Hospital’ was an integral observation that harnesses the theme of classism pertinent in the Victorian era society. </w:t>
      </w:r>
    </w:p>
    <w:p w:rsidR="006E1B00" w:rsidRPr="003427C7" w:rsidRDefault="003427C7" w:rsidP="006E1B00">
      <w:pPr>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6E1B00" w:rsidRPr="003427C7">
        <w:rPr>
          <w:rFonts w:ascii="Times New Roman" w:hAnsi="Times New Roman" w:cs="Times New Roman"/>
          <w:b/>
          <w:sz w:val="24"/>
          <w:szCs w:val="24"/>
        </w:rPr>
        <w:t>The Pertinent Element that Develops the Story</w:t>
      </w:r>
    </w:p>
    <w:p w:rsidR="006E1B00" w:rsidRPr="006E1B00" w:rsidRDefault="006E1B00" w:rsidP="006E1B00">
      <w:pPr>
        <w:ind w:firstLine="720"/>
        <w:rPr>
          <w:rFonts w:ascii="Times New Roman" w:hAnsi="Times New Roman" w:cs="Times New Roman"/>
          <w:sz w:val="24"/>
          <w:szCs w:val="24"/>
        </w:rPr>
      </w:pPr>
      <w:r w:rsidRPr="006E1B00">
        <w:rPr>
          <w:rFonts w:ascii="Times New Roman" w:hAnsi="Times New Roman" w:cs="Times New Roman"/>
          <w:sz w:val="24"/>
          <w:szCs w:val="24"/>
        </w:rPr>
        <w:t xml:space="preserve">The book adopts a direct narration point of view to develop various motifs. The text outlines Watson’s point of view toward Holmes’ system of deductive reasoning because he documents the entire adventures and activities the two protagonists accomplish. Chapter 1 involves the dialogue and monologue conversations between Mr. Holmes and Mr. Watson, which provide a robust outline of the entire text. For example, Mr. Watson commences by describing Mr. Holmes typical mornings but reveals that the prime protagonist exhibited peculiar behavior because he was up the entire night sitting on the top of the coffee table (Doyle, 9). Mr. Holmes breaks the silence by inquiring about Mr. Watson’s point of view about the stick that the visitor left behind in the night. </w:t>
      </w:r>
    </w:p>
    <w:p w:rsidR="006E1B00" w:rsidRPr="006E1B00" w:rsidRDefault="006E1B00" w:rsidP="006E1B00">
      <w:pPr>
        <w:ind w:firstLine="720"/>
        <w:rPr>
          <w:rFonts w:ascii="Times New Roman" w:hAnsi="Times New Roman" w:cs="Times New Roman"/>
          <w:sz w:val="24"/>
          <w:szCs w:val="24"/>
        </w:rPr>
      </w:pPr>
      <w:r w:rsidRPr="006E1B00">
        <w:rPr>
          <w:rFonts w:ascii="Times New Roman" w:hAnsi="Times New Roman" w:cs="Times New Roman"/>
          <w:sz w:val="24"/>
          <w:szCs w:val="24"/>
        </w:rPr>
        <w:t xml:space="preserve">Similarly, the choice of a narrative point of view is an essential technique to reveal the open thoughts and actions in a literary work. The dialogue between Mr. Holmes and his associate depicts the entire interactions inherent in the Hound of the Baskerville book because the readers can predict as well as construe the key plot of the study (Sell, 24). Specifically, the direct narration elicits fear and curiosity among the readers because of the ability of the dramatization </w:t>
      </w:r>
      <w:r w:rsidRPr="006E1B00">
        <w:rPr>
          <w:rFonts w:ascii="Times New Roman" w:hAnsi="Times New Roman" w:cs="Times New Roman"/>
          <w:sz w:val="24"/>
          <w:szCs w:val="24"/>
        </w:rPr>
        <w:lastRenderedPageBreak/>
        <w:t xml:space="preserve">that Doyle conveys in the text. The question, “Well, Watson, what do you make of it?” and the subsequent response from Mr. Watson spur the readers’ curiosity because of the mysteries that surround the bulbous-headed stick. The efforts that the two protagonists undertake to reconstruct the mysterious owner of the souvenir further manifests the grotesque purview of the Hound of the Baskerville. </w:t>
      </w:r>
    </w:p>
    <w:p w:rsidR="00351FD8" w:rsidRDefault="006E1B00" w:rsidP="006E1B00">
      <w:pPr>
        <w:ind w:firstLine="720"/>
        <w:rPr>
          <w:rFonts w:ascii="Times New Roman" w:hAnsi="Times New Roman" w:cs="Times New Roman"/>
          <w:sz w:val="24"/>
          <w:szCs w:val="24"/>
        </w:rPr>
      </w:pPr>
      <w:r w:rsidRPr="006E1B00">
        <w:rPr>
          <w:rFonts w:ascii="Times New Roman" w:hAnsi="Times New Roman" w:cs="Times New Roman"/>
          <w:sz w:val="24"/>
          <w:szCs w:val="24"/>
        </w:rPr>
        <w:t xml:space="preserve">Concisely, a critical review of the Hound of the Baskerville that focuses on the pertinent traits of the main detective and elementary technique used to develop the plot merits because it documents readers’ perspectives. Evidently, Mr. Shylock Holmes’ unique traits that include ingenuity, inquisitiveness, and keen observer enhance his ability to solve the grotesque mystery that engulfs the Baskerville neighborhood. Equally, a direct narration that integrates conversation among the characters has been a vital technique that facilitates the readers to readers to predict and infer the key motive inherent in the book. </w:t>
      </w:r>
      <w:r w:rsidR="005E55F2">
        <w:rPr>
          <w:rFonts w:ascii="Times New Roman" w:hAnsi="Times New Roman" w:cs="Times New Roman"/>
          <w:sz w:val="24"/>
          <w:szCs w:val="24"/>
        </w:rPr>
        <w:t xml:space="preserve"> </w:t>
      </w:r>
    </w:p>
    <w:p w:rsidR="00864273" w:rsidRDefault="00864273" w:rsidP="00FE433B">
      <w:pPr>
        <w:jc w:val="center"/>
        <w:rPr>
          <w:rFonts w:ascii="Times New Roman" w:hAnsi="Times New Roman" w:cs="Times New Roman"/>
          <w:sz w:val="24"/>
          <w:szCs w:val="24"/>
        </w:rPr>
      </w:pPr>
    </w:p>
    <w:p w:rsidR="00864273" w:rsidRDefault="00864273" w:rsidP="00FE433B">
      <w:pPr>
        <w:jc w:val="center"/>
        <w:rPr>
          <w:rFonts w:ascii="Times New Roman" w:hAnsi="Times New Roman" w:cs="Times New Roman"/>
          <w:sz w:val="24"/>
          <w:szCs w:val="24"/>
        </w:rPr>
      </w:pPr>
    </w:p>
    <w:p w:rsidR="00864273" w:rsidRDefault="00864273" w:rsidP="00FE433B">
      <w:pPr>
        <w:jc w:val="center"/>
        <w:rPr>
          <w:rFonts w:ascii="Times New Roman" w:hAnsi="Times New Roman" w:cs="Times New Roman"/>
          <w:sz w:val="24"/>
          <w:szCs w:val="24"/>
        </w:rPr>
      </w:pPr>
    </w:p>
    <w:p w:rsidR="00864273" w:rsidRDefault="00864273" w:rsidP="00FE433B">
      <w:pPr>
        <w:jc w:val="center"/>
        <w:rPr>
          <w:rFonts w:ascii="Times New Roman" w:hAnsi="Times New Roman" w:cs="Times New Roman"/>
          <w:sz w:val="24"/>
          <w:szCs w:val="24"/>
        </w:rPr>
      </w:pPr>
    </w:p>
    <w:p w:rsidR="00864273" w:rsidRDefault="00864273" w:rsidP="00FE433B">
      <w:pPr>
        <w:jc w:val="center"/>
        <w:rPr>
          <w:rFonts w:ascii="Times New Roman" w:hAnsi="Times New Roman" w:cs="Times New Roman"/>
          <w:sz w:val="24"/>
          <w:szCs w:val="24"/>
        </w:rPr>
      </w:pPr>
    </w:p>
    <w:p w:rsidR="00864273" w:rsidRDefault="00864273" w:rsidP="00FE433B">
      <w:pPr>
        <w:jc w:val="center"/>
        <w:rPr>
          <w:rFonts w:ascii="Times New Roman" w:hAnsi="Times New Roman" w:cs="Times New Roman"/>
          <w:sz w:val="24"/>
          <w:szCs w:val="24"/>
        </w:rPr>
      </w:pPr>
    </w:p>
    <w:p w:rsidR="00864273" w:rsidRDefault="00864273" w:rsidP="00FE433B">
      <w:pPr>
        <w:jc w:val="center"/>
        <w:rPr>
          <w:rFonts w:ascii="Times New Roman" w:hAnsi="Times New Roman" w:cs="Times New Roman"/>
          <w:sz w:val="24"/>
          <w:szCs w:val="24"/>
        </w:rPr>
      </w:pPr>
    </w:p>
    <w:p w:rsidR="00864273" w:rsidRDefault="00864273" w:rsidP="00FE433B">
      <w:pPr>
        <w:jc w:val="center"/>
        <w:rPr>
          <w:rFonts w:ascii="Times New Roman" w:hAnsi="Times New Roman" w:cs="Times New Roman"/>
          <w:sz w:val="24"/>
          <w:szCs w:val="24"/>
        </w:rPr>
      </w:pPr>
    </w:p>
    <w:p w:rsidR="00864273" w:rsidRDefault="00864273" w:rsidP="00FE433B">
      <w:pPr>
        <w:jc w:val="center"/>
        <w:rPr>
          <w:rFonts w:ascii="Times New Roman" w:hAnsi="Times New Roman" w:cs="Times New Roman"/>
          <w:sz w:val="24"/>
          <w:szCs w:val="24"/>
        </w:rPr>
      </w:pPr>
    </w:p>
    <w:p w:rsidR="005E55F2" w:rsidRDefault="005E55F2" w:rsidP="00FE433B">
      <w:pPr>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FE433B" w:rsidRPr="00FE433B" w:rsidRDefault="00FE433B" w:rsidP="00FE433B">
      <w:pPr>
        <w:ind w:left="720" w:hanging="720"/>
        <w:rPr>
          <w:rFonts w:ascii="Times New Roman" w:hAnsi="Times New Roman" w:cs="Times New Roman"/>
          <w:sz w:val="24"/>
          <w:szCs w:val="24"/>
        </w:rPr>
      </w:pPr>
      <w:r w:rsidRPr="00FE433B">
        <w:rPr>
          <w:rFonts w:ascii="Times New Roman" w:hAnsi="Times New Roman" w:cs="Times New Roman"/>
          <w:sz w:val="24"/>
          <w:szCs w:val="24"/>
        </w:rPr>
        <w:t xml:space="preserve">Doyle, Arthur. </w:t>
      </w:r>
      <w:r w:rsidRPr="00FE433B">
        <w:rPr>
          <w:rFonts w:ascii="Times New Roman" w:hAnsi="Times New Roman" w:cs="Times New Roman"/>
          <w:i/>
          <w:sz w:val="24"/>
          <w:szCs w:val="24"/>
        </w:rPr>
        <w:t>The Hound of the Baskerville</w:t>
      </w:r>
      <w:r w:rsidRPr="00FE433B">
        <w:rPr>
          <w:rFonts w:ascii="Times New Roman" w:hAnsi="Times New Roman" w:cs="Times New Roman"/>
          <w:sz w:val="24"/>
          <w:szCs w:val="24"/>
        </w:rPr>
        <w:t>, Prestwick House Inc., 2006</w:t>
      </w:r>
    </w:p>
    <w:p w:rsidR="00FE433B" w:rsidRPr="00FE433B" w:rsidRDefault="00FE433B" w:rsidP="00FE433B">
      <w:pPr>
        <w:ind w:left="720" w:hanging="720"/>
        <w:rPr>
          <w:rFonts w:ascii="Times New Roman" w:hAnsi="Times New Roman" w:cs="Times New Roman"/>
          <w:sz w:val="24"/>
          <w:szCs w:val="24"/>
        </w:rPr>
      </w:pPr>
      <w:r w:rsidRPr="00FE433B">
        <w:rPr>
          <w:rFonts w:ascii="Times New Roman" w:hAnsi="Times New Roman" w:cs="Times New Roman"/>
          <w:sz w:val="24"/>
          <w:szCs w:val="24"/>
        </w:rPr>
        <w:t xml:space="preserve">Sell, Roger. </w:t>
      </w:r>
      <w:r w:rsidRPr="00FE433B">
        <w:rPr>
          <w:rFonts w:ascii="Times New Roman" w:hAnsi="Times New Roman" w:cs="Times New Roman"/>
          <w:i/>
          <w:iCs/>
          <w:sz w:val="24"/>
          <w:szCs w:val="24"/>
        </w:rPr>
        <w:t xml:space="preserve">Literature </w:t>
      </w:r>
      <w:r>
        <w:rPr>
          <w:rFonts w:ascii="Times New Roman" w:hAnsi="Times New Roman" w:cs="Times New Roman"/>
          <w:i/>
          <w:iCs/>
          <w:sz w:val="24"/>
          <w:szCs w:val="24"/>
        </w:rPr>
        <w:t>a</w:t>
      </w:r>
      <w:r w:rsidRPr="00FE433B">
        <w:rPr>
          <w:rFonts w:ascii="Times New Roman" w:hAnsi="Times New Roman" w:cs="Times New Roman"/>
          <w:i/>
          <w:iCs/>
          <w:sz w:val="24"/>
          <w:szCs w:val="24"/>
        </w:rPr>
        <w:t>s Dialogue: Invitations Offered and Negotiated</w:t>
      </w:r>
      <w:r w:rsidRPr="00FE433B">
        <w:rPr>
          <w:rFonts w:ascii="Times New Roman" w:hAnsi="Times New Roman" w:cs="Times New Roman"/>
          <w:sz w:val="24"/>
          <w:szCs w:val="24"/>
        </w:rPr>
        <w:t xml:space="preserve">, John </w:t>
      </w:r>
      <w:proofErr w:type="spellStart"/>
      <w:r w:rsidRPr="00FE433B">
        <w:rPr>
          <w:rFonts w:ascii="Times New Roman" w:hAnsi="Times New Roman" w:cs="Times New Roman"/>
          <w:sz w:val="24"/>
          <w:szCs w:val="24"/>
        </w:rPr>
        <w:t>Benjamins</w:t>
      </w:r>
      <w:proofErr w:type="spellEnd"/>
      <w:r w:rsidRPr="00FE433B">
        <w:rPr>
          <w:rFonts w:ascii="Times New Roman" w:hAnsi="Times New Roman" w:cs="Times New Roman"/>
          <w:sz w:val="24"/>
          <w:szCs w:val="24"/>
        </w:rPr>
        <w:t xml:space="preserve"> Publishing Company</w:t>
      </w:r>
      <w:r>
        <w:rPr>
          <w:rFonts w:ascii="Times New Roman" w:hAnsi="Times New Roman" w:cs="Times New Roman"/>
          <w:sz w:val="24"/>
          <w:szCs w:val="24"/>
        </w:rPr>
        <w:t xml:space="preserve">, </w:t>
      </w:r>
      <w:r w:rsidRPr="00FE433B">
        <w:rPr>
          <w:rFonts w:ascii="Times New Roman" w:hAnsi="Times New Roman" w:cs="Times New Roman"/>
          <w:sz w:val="24"/>
          <w:szCs w:val="24"/>
        </w:rPr>
        <w:t>2014</w:t>
      </w:r>
    </w:p>
    <w:p w:rsidR="005E55F2" w:rsidRPr="00351FD8" w:rsidRDefault="00D44CC4" w:rsidP="00BC1F74">
      <w:pPr>
        <w:rPr>
          <w:rFonts w:ascii="Times New Roman" w:hAnsi="Times New Roman" w:cs="Times New Roman"/>
          <w:sz w:val="24"/>
          <w:szCs w:val="24"/>
        </w:rPr>
      </w:pPr>
      <w:r>
        <w:rPr>
          <w:rFonts w:ascii="Times New Roman" w:hAnsi="Times New Roman" w:cs="Times New Roman"/>
          <w:sz w:val="24"/>
          <w:szCs w:val="24"/>
        </w:rPr>
        <w:t xml:space="preserve"> </w:t>
      </w:r>
    </w:p>
    <w:p w:rsidR="00CC6B70" w:rsidRDefault="00CC6B70" w:rsidP="00CC6B70">
      <w:pPr>
        <w:pStyle w:val="NormalWeb"/>
        <w:shd w:val="clear" w:color="auto" w:fill="FFFFFF"/>
        <w:spacing w:before="180" w:beforeAutospacing="0" w:after="180" w:afterAutospacing="0"/>
        <w:rPr>
          <w:color w:val="2D3B45"/>
          <w:highlight w:val="yellow"/>
        </w:rPr>
      </w:pPr>
    </w:p>
    <w:p w:rsidR="00CC6B70" w:rsidRPr="00BC1F74" w:rsidRDefault="00CC6B70" w:rsidP="00CC6B70">
      <w:pPr>
        <w:pStyle w:val="NormalWeb"/>
        <w:shd w:val="clear" w:color="auto" w:fill="FFFFFF"/>
        <w:spacing w:before="180" w:beforeAutospacing="0" w:after="180" w:afterAutospacing="0"/>
        <w:rPr>
          <w:color w:val="2D3B45"/>
        </w:rPr>
      </w:pPr>
      <w:r w:rsidRPr="00BC1F74">
        <w:rPr>
          <w:color w:val="2D3B45"/>
          <w:highlight w:val="yellow"/>
        </w:rPr>
        <w:t>2) discuss one element of how the story is told, such as the choice of narrative point of view, the use of a film technique, (this is NOT about whether or not you like the story – this is not a ‘review” as if for a newspaper or web site)</w:t>
      </w:r>
    </w:p>
    <w:p w:rsidR="00CC6B70" w:rsidRPr="00EF4EC0" w:rsidRDefault="00CC6B70" w:rsidP="00BC1F74">
      <w:pPr>
        <w:rPr>
          <w:rFonts w:ascii="Times New Roman" w:hAnsi="Times New Roman" w:cs="Times New Roman"/>
          <w:sz w:val="24"/>
          <w:szCs w:val="24"/>
        </w:rPr>
      </w:pPr>
    </w:p>
    <w:sectPr w:rsidR="00CC6B70" w:rsidRPr="00EF4EC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30E4" w:rsidRDefault="00C930E4" w:rsidP="00A36B69">
      <w:pPr>
        <w:spacing w:after="0" w:line="240" w:lineRule="auto"/>
      </w:pPr>
      <w:r>
        <w:separator/>
      </w:r>
    </w:p>
  </w:endnote>
  <w:endnote w:type="continuationSeparator" w:id="0">
    <w:p w:rsidR="00C930E4" w:rsidRDefault="00C930E4" w:rsidP="00A36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30E4" w:rsidRDefault="00C930E4" w:rsidP="00A36B69">
      <w:pPr>
        <w:spacing w:after="0" w:line="240" w:lineRule="auto"/>
      </w:pPr>
      <w:r>
        <w:separator/>
      </w:r>
    </w:p>
  </w:footnote>
  <w:footnote w:type="continuationSeparator" w:id="0">
    <w:p w:rsidR="00C930E4" w:rsidRDefault="00C930E4" w:rsidP="00A36B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6B69" w:rsidRPr="00A36B69" w:rsidRDefault="00A36B69" w:rsidP="00A36B69">
    <w:pPr>
      <w:pStyle w:val="Header"/>
      <w:jc w:val="right"/>
      <w:rPr>
        <w:rFonts w:ascii="Times New Roman" w:hAnsi="Times New Roman" w:cs="Times New Roman"/>
        <w:sz w:val="24"/>
        <w:szCs w:val="24"/>
      </w:rPr>
    </w:pPr>
    <w:r w:rsidRPr="00A36B69">
      <w:rPr>
        <w:rFonts w:ascii="Times New Roman" w:hAnsi="Times New Roman" w:cs="Times New Roman"/>
        <w:sz w:val="24"/>
        <w:szCs w:val="24"/>
      </w:rPr>
      <w:t xml:space="preserve">Surname </w:t>
    </w:r>
    <w:sdt>
      <w:sdtPr>
        <w:rPr>
          <w:rFonts w:ascii="Times New Roman" w:hAnsi="Times New Roman" w:cs="Times New Roman"/>
          <w:sz w:val="24"/>
          <w:szCs w:val="24"/>
        </w:rPr>
        <w:id w:val="1075399401"/>
        <w:docPartObj>
          <w:docPartGallery w:val="Page Numbers (Top of Page)"/>
          <w:docPartUnique/>
        </w:docPartObj>
      </w:sdtPr>
      <w:sdtEndPr>
        <w:rPr>
          <w:noProof/>
        </w:rPr>
      </w:sdtEndPr>
      <w:sdtContent>
        <w:r w:rsidRPr="00A36B69">
          <w:rPr>
            <w:rFonts w:ascii="Times New Roman" w:hAnsi="Times New Roman" w:cs="Times New Roman"/>
            <w:sz w:val="24"/>
            <w:szCs w:val="24"/>
          </w:rPr>
          <w:fldChar w:fldCharType="begin"/>
        </w:r>
        <w:r w:rsidRPr="00A36B69">
          <w:rPr>
            <w:rFonts w:ascii="Times New Roman" w:hAnsi="Times New Roman" w:cs="Times New Roman"/>
            <w:sz w:val="24"/>
            <w:szCs w:val="24"/>
          </w:rPr>
          <w:instrText xml:space="preserve"> PAGE   \* MERGEFORMAT </w:instrText>
        </w:r>
        <w:r w:rsidRPr="00A36B69">
          <w:rPr>
            <w:rFonts w:ascii="Times New Roman" w:hAnsi="Times New Roman" w:cs="Times New Roman"/>
            <w:sz w:val="24"/>
            <w:szCs w:val="24"/>
          </w:rPr>
          <w:fldChar w:fldCharType="separate"/>
        </w:r>
        <w:r w:rsidR="00DB5B58">
          <w:rPr>
            <w:rFonts w:ascii="Times New Roman" w:hAnsi="Times New Roman" w:cs="Times New Roman"/>
            <w:noProof/>
            <w:sz w:val="24"/>
            <w:szCs w:val="24"/>
          </w:rPr>
          <w:t>2</w:t>
        </w:r>
        <w:r w:rsidRPr="00A36B69">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B69"/>
    <w:rsid w:val="00042D12"/>
    <w:rsid w:val="00053A12"/>
    <w:rsid w:val="00080EB6"/>
    <w:rsid w:val="00093F74"/>
    <w:rsid w:val="000A4DD3"/>
    <w:rsid w:val="000C5289"/>
    <w:rsid w:val="000D3050"/>
    <w:rsid w:val="000D34A4"/>
    <w:rsid w:val="000E513D"/>
    <w:rsid w:val="00127A86"/>
    <w:rsid w:val="00141E4D"/>
    <w:rsid w:val="00145646"/>
    <w:rsid w:val="00172108"/>
    <w:rsid w:val="00205A79"/>
    <w:rsid w:val="00241506"/>
    <w:rsid w:val="00246204"/>
    <w:rsid w:val="002770A3"/>
    <w:rsid w:val="0028165A"/>
    <w:rsid w:val="00291954"/>
    <w:rsid w:val="00297B9D"/>
    <w:rsid w:val="002B65C6"/>
    <w:rsid w:val="003039DD"/>
    <w:rsid w:val="00313737"/>
    <w:rsid w:val="003137D6"/>
    <w:rsid w:val="00314D12"/>
    <w:rsid w:val="003244AB"/>
    <w:rsid w:val="00337496"/>
    <w:rsid w:val="003427C7"/>
    <w:rsid w:val="00344B10"/>
    <w:rsid w:val="00351FD8"/>
    <w:rsid w:val="00360BB3"/>
    <w:rsid w:val="00377940"/>
    <w:rsid w:val="003A4DFD"/>
    <w:rsid w:val="003C19A0"/>
    <w:rsid w:val="003C20B9"/>
    <w:rsid w:val="004303E1"/>
    <w:rsid w:val="00436934"/>
    <w:rsid w:val="00446B6F"/>
    <w:rsid w:val="004640F3"/>
    <w:rsid w:val="00471124"/>
    <w:rsid w:val="0047391F"/>
    <w:rsid w:val="00476EF2"/>
    <w:rsid w:val="004B55DA"/>
    <w:rsid w:val="004D7863"/>
    <w:rsid w:val="00525E21"/>
    <w:rsid w:val="00556EE9"/>
    <w:rsid w:val="00564A6E"/>
    <w:rsid w:val="00581A64"/>
    <w:rsid w:val="00586628"/>
    <w:rsid w:val="005968CB"/>
    <w:rsid w:val="005C06BE"/>
    <w:rsid w:val="005E55F2"/>
    <w:rsid w:val="00632816"/>
    <w:rsid w:val="006B1C4C"/>
    <w:rsid w:val="006D4819"/>
    <w:rsid w:val="006E1B00"/>
    <w:rsid w:val="00712B2E"/>
    <w:rsid w:val="00722776"/>
    <w:rsid w:val="00732183"/>
    <w:rsid w:val="00753A4C"/>
    <w:rsid w:val="007701BD"/>
    <w:rsid w:val="00783C03"/>
    <w:rsid w:val="007C64CA"/>
    <w:rsid w:val="007F0349"/>
    <w:rsid w:val="007F57AC"/>
    <w:rsid w:val="008021AE"/>
    <w:rsid w:val="00803CDF"/>
    <w:rsid w:val="00836AC1"/>
    <w:rsid w:val="00847B4E"/>
    <w:rsid w:val="00864273"/>
    <w:rsid w:val="00897615"/>
    <w:rsid w:val="008D446F"/>
    <w:rsid w:val="008E1157"/>
    <w:rsid w:val="00901A22"/>
    <w:rsid w:val="00934D71"/>
    <w:rsid w:val="00A0342F"/>
    <w:rsid w:val="00A048F6"/>
    <w:rsid w:val="00A36B69"/>
    <w:rsid w:val="00A65F69"/>
    <w:rsid w:val="00A9210A"/>
    <w:rsid w:val="00A94229"/>
    <w:rsid w:val="00AA1881"/>
    <w:rsid w:val="00B24DE3"/>
    <w:rsid w:val="00B61CE4"/>
    <w:rsid w:val="00BC1F74"/>
    <w:rsid w:val="00BE471C"/>
    <w:rsid w:val="00BE615F"/>
    <w:rsid w:val="00BF29F0"/>
    <w:rsid w:val="00C06449"/>
    <w:rsid w:val="00C20B13"/>
    <w:rsid w:val="00C6390E"/>
    <w:rsid w:val="00C6718E"/>
    <w:rsid w:val="00C930E4"/>
    <w:rsid w:val="00C96C12"/>
    <w:rsid w:val="00CA22EB"/>
    <w:rsid w:val="00CA7FDC"/>
    <w:rsid w:val="00CC09C6"/>
    <w:rsid w:val="00CC6B70"/>
    <w:rsid w:val="00CE6DAC"/>
    <w:rsid w:val="00D01AB2"/>
    <w:rsid w:val="00D07C54"/>
    <w:rsid w:val="00D10A76"/>
    <w:rsid w:val="00D404BE"/>
    <w:rsid w:val="00D44CC4"/>
    <w:rsid w:val="00D51601"/>
    <w:rsid w:val="00D61F6F"/>
    <w:rsid w:val="00D801C3"/>
    <w:rsid w:val="00DB5B58"/>
    <w:rsid w:val="00DC4672"/>
    <w:rsid w:val="00DD5906"/>
    <w:rsid w:val="00E1307C"/>
    <w:rsid w:val="00E14087"/>
    <w:rsid w:val="00E42E63"/>
    <w:rsid w:val="00E82B90"/>
    <w:rsid w:val="00EA2FAB"/>
    <w:rsid w:val="00EA79C2"/>
    <w:rsid w:val="00EC12E6"/>
    <w:rsid w:val="00ED40A4"/>
    <w:rsid w:val="00EF4EC0"/>
    <w:rsid w:val="00EF63C3"/>
    <w:rsid w:val="00F06700"/>
    <w:rsid w:val="00F27395"/>
    <w:rsid w:val="00F406B1"/>
    <w:rsid w:val="00FC6B8E"/>
    <w:rsid w:val="00FD48EB"/>
    <w:rsid w:val="00FE21FF"/>
    <w:rsid w:val="00FE43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496"/>
    <w:pPr>
      <w:spacing w:after="160" w:line="480"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B69"/>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A36B69"/>
  </w:style>
  <w:style w:type="paragraph" w:styleId="Footer">
    <w:name w:val="footer"/>
    <w:basedOn w:val="Normal"/>
    <w:link w:val="FooterChar"/>
    <w:uiPriority w:val="99"/>
    <w:unhideWhenUsed/>
    <w:rsid w:val="00A36B69"/>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A36B69"/>
  </w:style>
  <w:style w:type="paragraph" w:styleId="NormalWeb">
    <w:name w:val="Normal (Web)"/>
    <w:basedOn w:val="Normal"/>
    <w:uiPriority w:val="99"/>
    <w:unhideWhenUsed/>
    <w:rsid w:val="00BC1F7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7496"/>
    <w:pPr>
      <w:spacing w:after="160" w:line="480"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6B69"/>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A36B69"/>
  </w:style>
  <w:style w:type="paragraph" w:styleId="Footer">
    <w:name w:val="footer"/>
    <w:basedOn w:val="Normal"/>
    <w:link w:val="FooterChar"/>
    <w:uiPriority w:val="99"/>
    <w:unhideWhenUsed/>
    <w:rsid w:val="00A36B69"/>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A36B69"/>
  </w:style>
  <w:style w:type="paragraph" w:styleId="NormalWeb">
    <w:name w:val="Normal (Web)"/>
    <w:basedOn w:val="Normal"/>
    <w:uiPriority w:val="99"/>
    <w:unhideWhenUsed/>
    <w:rsid w:val="00BC1F7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1074</Words>
  <Characters>6124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2018-10-17T16:51:00Z</dcterms:created>
  <dcterms:modified xsi:type="dcterms:W3CDTF">2018-10-17T21:26:00Z</dcterms:modified>
</cp:coreProperties>
</file>